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MUC5b promoter variant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6.11: Unadjusted and adjusted OR for IPF risk factors and potential confounders</w:t>
      </w:r>
      <w:r>
        <w:t xml:space="preserve"> </w:t>
      </w:r>
    </w:p>
    <w:p>
      <w:pPr>
        <w:pStyle w:val="BodyText"/>
      </w:pPr>
      <w:r>
        <w:t xml:space="preserve">Table 6.12: Occupational metal, wood, and stone exposure and IPF risk</w:t>
      </w:r>
      <w:r>
        <w:t xml:space="preserve"> </w:t>
      </w:r>
    </w:p>
    <w:p>
      <w:pPr>
        <w:pStyle w:val="BodyText"/>
      </w:pPr>
      <w:r>
        <w:t xml:space="preserve">Table 6.13: Sensitivity analysis (limited to jobs that ended before 1980): Occupational asbestos exposure (inferred by job title) and IPF risk (ever vs never)</w:t>
      </w:r>
      <w:r>
        <w:t xml:space="preserve"> </w:t>
      </w:r>
    </w:p>
    <w:p>
      <w:pPr>
        <w:pStyle w:val="BodyText"/>
      </w:pPr>
      <w:r>
        <w:t xml:space="preserve">Table 6.14: Sensitivity analysis (limited to jobs that ended before 1980): Occupational asbestos exposure (inferred by job title) and IPF risk (categories of exposure)</w:t>
      </w:r>
      <w:r>
        <w:t xml:space="preserve"> </w:t>
      </w:r>
    </w:p>
    <w:p>
      <w:pPr>
        <w:pStyle w:val="BodyText"/>
      </w:pPr>
      <w:r>
        <w:t xml:space="preserve">Table 6.15: Sensitivity analysis (limited to jobs that ended before 1980): Occupational asbestos exposure (inferred by job title) and IPF risk (categories of exposure)</w:t>
      </w:r>
      <w:r>
        <w:t xml:space="preserve"> </w:t>
      </w:r>
    </w:p>
    <w:p>
      <w:pPr>
        <w:pStyle w:val="BodyText"/>
      </w:pPr>
      <w:r>
        <w:t xml:space="preserve">Table 6.16: Sensitivity analysis (limited to jobs that participants spent 5 or more years in): Occupational asbestos exposure (inferred by job title) and IPF risk (categories of exposure)</w:t>
      </w:r>
      <w:r>
        <w:t xml:space="preserve"> </w:t>
      </w:r>
    </w:p>
    <w:p>
      <w:pPr>
        <w:pStyle w:val="BodyText"/>
      </w:pPr>
      <w:r>
        <w:t xml:space="preserve">Table 6.17: Sensitivity analysis (limited to participants within 10km of the hospital): Occupational asbestos exposure (inferred by job title) and IPF risk (ever vs never)</w:t>
      </w:r>
      <w:r>
        <w:t xml:space="preserve"> </w:t>
      </w:r>
    </w:p>
    <w:p>
      <w:pPr>
        <w:pStyle w:val="BodyText"/>
      </w:pPr>
      <w:r>
        <w:t xml:space="preserve">Table 6.18: Sensitivity analysis (limited to participants within 10km of the hospital): Occupational asbestos exposure (inferred by job title) and IPF risk (categories of exposure)</w:t>
      </w:r>
      <w:r>
        <w:t xml:space="preserve"> </w:t>
      </w:r>
    </w:p>
    <w:p>
      <w:pPr>
        <w:pStyle w:val="BodyText"/>
      </w:pPr>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6.20: Ordinal logistic regression for mMRC score and ever exposed to asbestos</w:t>
      </w:r>
      <w:r>
        <w:t xml:space="preserve"> </w:t>
      </w:r>
    </w:p>
    <w:p>
      <w:pPr>
        <w:pStyle w:val="BodyText"/>
      </w:pPr>
      <w:r>
        <w:t xml:space="preserve">Table 6.21: Ordinal logistic regression for mMRC score and for categories of asbestos exposure</w:t>
      </w:r>
      <w:r>
        <w:t xml:space="preserve"> </w:t>
      </w:r>
    </w:p>
    <w:p>
      <w:pPr>
        <w:pStyle w:val="BodyText"/>
      </w:pPr>
      <w:r>
        <w:t xml:space="preserve">Table 6.22: rs35705950 MAF for genotyped cases, case subsets, and controls</w:t>
      </w:r>
      <w:r>
        <w:t xml:space="preserve"> </w:t>
      </w:r>
    </w:p>
    <w:p>
      <w:pPr>
        <w:pStyle w:val="BodyText"/>
      </w:pPr>
      <w:r>
        <w:t xml:space="preserve">Table 6.23: Logistic regression of ever smoking and ever exposed to occupational asbestos (inferred by job title) stratified by MUC5B rs35705950 genotype</w:t>
      </w:r>
      <w:r>
        <w:t xml:space="preserve"> </w:t>
      </w:r>
    </w:p>
    <w:p>
      <w:pPr>
        <w:pStyle w:val="BodyText"/>
      </w:pPr>
      <w:r>
        <w:t xml:space="preserve">Table 6.24: Logistic regression of ever smoking stratified by MUC5B rs35705950 genotype</w:t>
      </w:r>
      <w:r>
        <w:t xml:space="preserve"> </w:t>
      </w:r>
    </w:p>
    <w:p>
      <w:pPr>
        <w:pStyle w:val="BodyText"/>
      </w:pPr>
      <w:r>
        <w:t xml:space="preserve">Table 6.25: Logistic regression of ever having been exposed to occupational asbestos (inferred by job title) stratified by MUC5B rs35705950 genotype</w:t>
      </w:r>
      <w:r>
        <w:t xml:space="preserve"> </w:t>
      </w:r>
    </w:p>
    <w:p>
      <w:pPr>
        <w:pStyle w:val="BodyText"/>
      </w:pPr>
      <w:r>
        <w:t xml:space="preserve">Table 6.26: Logistic regression of never having been exposed to occupational asbestos (inferred by job title) stratified by MUC5B rs35705950 genotype</w:t>
      </w:r>
      <w:r>
        <w:t xml:space="preserve"> </w:t>
      </w:r>
    </w:p>
    <w:p>
      <w:pPr>
        <w:pStyle w:val="BodyText"/>
      </w:pPr>
      <w:r>
        <w:t xml:space="preserve">Table 6.27: Logistic regression of never having smoked stratified by MUC5B rs35705950 genotype</w:t>
      </w:r>
      <w:r>
        <w:t xml:space="preserve"> </w:t>
      </w:r>
    </w:p>
    <w:p>
      <w:pPr>
        <w:pStyle w:val="BodyText"/>
      </w:pPr>
      <w:r>
        <w:t xml:space="preserve">Table 6.22: Sensitivity analysis logistic regression of ever smoking and ever exposed to occupational asbestos (inferred by job title) radiology (definite UIP/possible UIP)</w:t>
      </w:r>
      <w:r>
        <w:t xml:space="preserve"> </w:t>
      </w:r>
    </w:p>
    <w:p>
      <w:pPr>
        <w:pStyle w:val="BodyText"/>
      </w:pPr>
      <w:r>
        <w:t xml:space="preserve">Table 6.23: Sensitivity analysis of possible UIP logistic regression of ever smoking and ever exposed to occupational asbestos (inferred by job title) stratified by MUC5B rs35705950 genotype</w:t>
      </w:r>
      <w:r>
        <w:t xml:space="preserve"> </w:t>
      </w:r>
    </w:p>
    <w:p>
      <w:pPr>
        <w:pStyle w:val="BodyText"/>
      </w:pPr>
      <w:r>
        <w:t xml:space="preserve">Table 6.24: Sensitivity analysis of definite UIP logistic regression of ever smoking and ever exposed to occupational asbestos (inferred by job title) stratified by MUC5B rs35705950 genotype</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occupational-asbestos-exposure-as-an-under-recognised-cause-of-idiopathic-pulmonary-fibrosis"/>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literature-review-and-meta-analysis-how-much-ipf-is-attributable-to-occupational-exposures"/>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table-2.1-previous-ipf-case-control-studies-reporting-on-occupational-exposures.-blanc-2019"/>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table-2.2-overview-of-occupational-ipf-studies"/>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table-2.3-rob-speo-risk-of-bias-scores-for-occupational-ipf-studies."/>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table-2.4-pooled-population-attributable-risk-factors-for-occupation-and-idiopathic-pulmonary-fibrosis.-blanc-20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Forrest plot of pooled odds ratio data for occupational VGDF exposure and idiopathic pulmonary fibrosis.</w:t>
      </w:r>
    </w:p>
    <w:p>
      <w:pPr>
        <w:pStyle w:val="CaptionedFigure"/>
      </w:pPr>
      <w:r>
        <w:drawing>
          <wp:inline>
            <wp:extent cx="5334000" cy="3979269"/>
            <wp:effectExtent b="0" l="0" r="0" t="0"/>
            <wp:docPr descr="For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Forrest plot of pooled odds ratio data for occupational wood dust exposure and idiopathic pulmonary fibrosis.</w:t>
      </w:r>
    </w:p>
    <w:p>
      <w:pPr>
        <w:pStyle w:val="CaptionedFigure"/>
      </w:pPr>
      <w:r>
        <w:drawing>
          <wp:inline>
            <wp:extent cx="5334000" cy="3858065"/>
            <wp:effectExtent b="0" l="0" r="0" t="0"/>
            <wp:docPr descr="For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Forrest plot of pooled odds ratio data for occupational metal dust exposure and idiopathic pulmonary fibrosis.</w:t>
      </w:r>
    </w:p>
    <w:p>
      <w:pPr>
        <w:pStyle w:val="CaptionedFigure"/>
      </w:pPr>
      <w:r>
        <w:drawing>
          <wp:inline>
            <wp:extent cx="5334000" cy="3773426"/>
            <wp:effectExtent b="0" l="0" r="0" t="0"/>
            <wp:docPr descr="For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Forrest plot of pooled odds ratio data for occupational stone dust exposure and idiopathic pulmonary fibrosis.</w:t>
      </w:r>
    </w:p>
    <w:p>
      <w:pPr>
        <w:pStyle w:val="CaptionedFigure"/>
      </w:pPr>
      <w:r>
        <w:drawing>
          <wp:inline>
            <wp:extent cx="5334000" cy="3658274"/>
            <wp:effectExtent b="0" l="0" r="0" t="0"/>
            <wp:docPr descr="For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mortality-analysis-do-mortality-trends-support-an-occupational-cause"/>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table-3.1-regional-ipf-mesothelioma-and-asbestosis-mortality-1974-2012.-adjusted-mortality-rate-ratios."/>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historic-asbestos-exposure-assessment-can-it-be-done"/>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mucus-mucins-muc5b-structure-function-and-evolutionary-importance"/>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potential-role-of-rs5270590-variant-in-ipf-pathogenesis"/>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idiopathic-pulmonary-fibrosis-job-exposures-study-ipfjes-is-occupational-asbestos-exposure-an-under-recognised-cause-of-ipf"/>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rs5270590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table-6.1-participant-demographic-characteristics"/>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pPr>
              <w:pStyle w:val="Compact"/>
            </w:pPr>
          </w:p>
        </w:tc>
        <w:tc>
          <w:p>
            <w:pPr>
              <w:pStyle w:val="Compact"/>
            </w:pPr>
          </w:p>
        </w:tc>
        <w:tc>
          <w:p>
            <w:pPr>
              <w:pStyle w:val="Compact"/>
            </w:pPr>
          </w:p>
        </w:tc>
        <w:tc>
          <w:p>
            <w:pPr>
              <w:pStyle w:val="Compact"/>
            </w:pPr>
          </w:p>
        </w:tc>
      </w:tr>
      <w:tr>
        <w:tc>
          <w:p>
            <w:pPr>
              <w:pStyle w:val="Compact"/>
              <w:jc w:val="left"/>
            </w:pPr>
            <w:r>
              <w:t xml:space="preserve">median</w:t>
            </w:r>
          </w:p>
        </w:tc>
        <w:tc>
          <w:p>
            <w:pPr>
              <w:pStyle w:val="Compact"/>
              <w:jc w:val="left"/>
            </w:pPr>
            <w:r>
              <w:t xml:space="preserve">76</w:t>
            </w:r>
          </w:p>
        </w:tc>
        <w:tc>
          <w:p>
            <w:pPr>
              <w:pStyle w:val="Compact"/>
            </w:pPr>
          </w:p>
        </w:tc>
        <w:tc>
          <w:p>
            <w:pPr>
              <w:pStyle w:val="Compact"/>
              <w:jc w:val="left"/>
            </w:pPr>
            <w:r>
              <w:t xml:space="preserve">74</w:t>
            </w:r>
          </w:p>
        </w:tc>
        <w:tc>
          <w:p>
            <w:pPr>
              <w:pStyle w:val="Compact"/>
            </w:pPr>
          </w:p>
        </w:tc>
      </w:tr>
      <w:tr>
        <w:tc>
          <w:p>
            <w:pPr>
              <w:pStyle w:val="Compact"/>
              <w:jc w:val="left"/>
            </w:pPr>
            <w:r>
              <w:t xml:space="preserve">interquartile range</w:t>
            </w:r>
          </w:p>
        </w:tc>
        <w:tc>
          <w:p>
            <w:pPr>
              <w:pStyle w:val="Compact"/>
              <w:jc w:val="left"/>
            </w:pPr>
            <w:r>
              <w:t xml:space="preserve">71-81</w:t>
            </w:r>
          </w:p>
        </w:tc>
        <w:tc>
          <w:p>
            <w:pPr>
              <w:pStyle w:val="Compact"/>
            </w:pPr>
          </w:p>
        </w:tc>
        <w:tc>
          <w:p>
            <w:pPr>
              <w:pStyle w:val="Compact"/>
              <w:jc w:val="left"/>
            </w:pPr>
            <w:r>
              <w:t xml:space="preserve">69-79</w:t>
            </w: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Ethnicity</w:t>
            </w:r>
          </w:p>
        </w:tc>
        <w:tc>
          <w:p>
            <w:pPr>
              <w:pStyle w:val="Compact"/>
            </w:pPr>
          </w:p>
        </w:tc>
        <w:tc>
          <w:p>
            <w:pPr>
              <w:pStyle w:val="Compact"/>
            </w:pPr>
          </w:p>
        </w:tc>
        <w:tc>
          <w:p>
            <w:pPr>
              <w:pStyle w:val="Compact"/>
            </w:pPr>
          </w:p>
        </w:tc>
        <w:tc>
          <w:p>
            <w:pPr>
              <w:pStyle w:val="Compact"/>
            </w:pPr>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Social class</w:t>
            </w:r>
          </w:p>
        </w:tc>
        <w:tc>
          <w:p>
            <w:pPr>
              <w:pStyle w:val="Compact"/>
            </w:pPr>
          </w:p>
        </w:tc>
        <w:tc>
          <w:p>
            <w:pPr>
              <w:pStyle w:val="Compact"/>
            </w:pPr>
          </w:p>
        </w:tc>
        <w:tc>
          <w:p>
            <w:pPr>
              <w:pStyle w:val="Compact"/>
            </w:pPr>
          </w:p>
        </w:tc>
        <w:tc>
          <w:p>
            <w:pPr>
              <w:pStyle w:val="Compact"/>
            </w:pPr>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Smoking</w:t>
            </w:r>
          </w:p>
        </w:tc>
        <w:tc>
          <w:p>
            <w:pPr>
              <w:pStyle w:val="Compact"/>
            </w:pPr>
          </w:p>
        </w:tc>
        <w:tc>
          <w:p>
            <w:pPr>
              <w:pStyle w:val="Compact"/>
            </w:pPr>
          </w:p>
        </w:tc>
        <w:tc>
          <w:p>
            <w:pPr>
              <w:pStyle w:val="Compact"/>
            </w:pPr>
          </w:p>
        </w:tc>
        <w:tc>
          <w:p>
            <w:pPr>
              <w:pStyle w:val="Compact"/>
            </w:pPr>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pPr>
              <w:pStyle w:val="Compact"/>
            </w:pPr>
          </w:p>
        </w:tc>
        <w:tc>
          <w:p>
            <w:pPr>
              <w:pStyle w:val="Compact"/>
            </w:pPr>
          </w:p>
        </w:tc>
        <w:tc>
          <w:p>
            <w:pPr>
              <w:pStyle w:val="Compact"/>
            </w:pPr>
          </w:p>
        </w:tc>
        <w:tc>
          <w:p>
            <w:pPr>
              <w:pStyle w:val="Compact"/>
            </w:pPr>
          </w:p>
        </w:tc>
      </w:tr>
      <w:tr>
        <w:tc>
          <w:p>
            <w:pPr>
              <w:pStyle w:val="Compact"/>
              <w:jc w:val="left"/>
            </w:pPr>
            <w:r>
              <w:t xml:space="preserve">mean</w:t>
            </w:r>
          </w:p>
        </w:tc>
        <w:tc>
          <w:p>
            <w:pPr>
              <w:pStyle w:val="Compact"/>
              <w:jc w:val="left"/>
            </w:pPr>
            <w:r>
              <w:t xml:space="preserve">27</w:t>
            </w:r>
          </w:p>
        </w:tc>
        <w:tc>
          <w:p>
            <w:pPr>
              <w:pStyle w:val="Compact"/>
            </w:pPr>
          </w:p>
        </w:tc>
        <w:tc>
          <w:p>
            <w:pPr>
              <w:pStyle w:val="Compact"/>
              <w:jc w:val="left"/>
            </w:pPr>
            <w:r>
              <w:t xml:space="preserve">24</w:t>
            </w:r>
          </w:p>
        </w:tc>
        <w:tc>
          <w:p>
            <w:pPr>
              <w:pStyle w:val="Compact"/>
            </w:pPr>
          </w:p>
        </w:tc>
      </w:tr>
      <w:tr>
        <w:tc>
          <w:p>
            <w:pPr>
              <w:pStyle w:val="Compact"/>
              <w:jc w:val="left"/>
            </w:pPr>
            <w:r>
              <w:t xml:space="preserve">median</w:t>
            </w:r>
          </w:p>
        </w:tc>
        <w:tc>
          <w:p>
            <w:pPr>
              <w:pStyle w:val="Compact"/>
              <w:jc w:val="left"/>
            </w:pPr>
            <w:r>
              <w:t xml:space="preserve">20</w:t>
            </w:r>
          </w:p>
        </w:tc>
        <w:tc>
          <w:p>
            <w:pPr>
              <w:pStyle w:val="Compact"/>
            </w:pPr>
          </w:p>
        </w:tc>
        <w:tc>
          <w:p>
            <w:pPr>
              <w:pStyle w:val="Compact"/>
              <w:jc w:val="left"/>
            </w:pPr>
            <w:r>
              <w:t xml:space="preserve">19</w:t>
            </w:r>
          </w:p>
        </w:tc>
        <w:tc>
          <w:p>
            <w:pPr>
              <w:pStyle w:val="Compact"/>
            </w:pPr>
          </w:p>
        </w:tc>
      </w:tr>
      <w:tr>
        <w:tc>
          <w:p>
            <w:pPr>
              <w:pStyle w:val="Compact"/>
              <w:jc w:val="left"/>
            </w:pPr>
            <w:r>
              <w:t xml:space="preserve">interquartile range</w:t>
            </w:r>
          </w:p>
        </w:tc>
        <w:tc>
          <w:p>
            <w:pPr>
              <w:pStyle w:val="Compact"/>
              <w:jc w:val="left"/>
            </w:pPr>
            <w:r>
              <w:t xml:space="preserve">9-36</w:t>
            </w:r>
          </w:p>
        </w:tc>
        <w:tc>
          <w:p>
            <w:pPr>
              <w:pStyle w:val="Compact"/>
            </w:pPr>
          </w:p>
        </w:tc>
        <w:tc>
          <w:p>
            <w:pPr>
              <w:pStyle w:val="Compact"/>
              <w:jc w:val="left"/>
            </w:pPr>
            <w:r>
              <w:t xml:space="preserve">7-34</w:t>
            </w:r>
          </w:p>
        </w:tc>
        <w:tc>
          <w:p>
            <w:pPr>
              <w:pStyle w:val="Compact"/>
            </w:pPr>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table-6.2-patient-clinical-features-from-case-report-form-and-genotypes"/>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pPr>
              <w:pStyle w:val="Compact"/>
            </w:pPr>
          </w:p>
        </w:tc>
        <w:tc>
          <w:p>
            <w:pPr>
              <w:pStyle w:val="Compact"/>
            </w:pPr>
          </w:p>
        </w:tc>
        <w:tc>
          <w:p>
            <w:pPr>
              <w:pStyle w:val="Compact"/>
            </w:pPr>
          </w:p>
        </w:tc>
        <w:tc>
          <w:p>
            <w:pPr>
              <w:pStyle w:val="Compact"/>
            </w:pPr>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Bx</w:t>
            </w:r>
          </w:p>
        </w:tc>
        <w:tc>
          <w:p>
            <w:pPr>
              <w:pStyle w:val="Compact"/>
            </w:pPr>
          </w:p>
        </w:tc>
        <w:tc>
          <w:p>
            <w:pPr>
              <w:pStyle w:val="Compact"/>
            </w:pPr>
          </w:p>
        </w:tc>
        <w:tc>
          <w:p>
            <w:pPr>
              <w:pStyle w:val="Compact"/>
            </w:pPr>
          </w:p>
        </w:tc>
        <w:tc>
          <w:p>
            <w:pPr>
              <w:pStyle w:val="Compact"/>
            </w:pPr>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mMRC</w:t>
            </w:r>
          </w:p>
        </w:tc>
        <w:tc>
          <w:p>
            <w:pPr>
              <w:pStyle w:val="Compact"/>
            </w:pPr>
          </w:p>
        </w:tc>
        <w:tc>
          <w:p>
            <w:pPr>
              <w:pStyle w:val="Compact"/>
            </w:pPr>
          </w:p>
        </w:tc>
        <w:tc>
          <w:p>
            <w:pPr>
              <w:pStyle w:val="Compact"/>
            </w:pPr>
          </w:p>
        </w:tc>
        <w:tc>
          <w:p>
            <w:pPr>
              <w:pStyle w:val="Compact"/>
            </w:pPr>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rs35705950 genotype</w:t>
            </w:r>
          </w:p>
        </w:tc>
        <w:tc>
          <w:p>
            <w:pPr>
              <w:pStyle w:val="Compact"/>
              <w:jc w:val="left"/>
            </w:pPr>
            <w:r>
              <w:t xml:space="preserve">N=395</w:t>
            </w:r>
          </w:p>
        </w:tc>
        <w:tc>
          <w:p>
            <w:pPr>
              <w:pStyle w:val="Compact"/>
            </w:pPr>
          </w:p>
        </w:tc>
        <w:tc>
          <w:p>
            <w:pPr>
              <w:pStyle w:val="Compact"/>
              <w:jc w:val="left"/>
            </w:pPr>
            <w:r>
              <w:t xml:space="preserve">N=423</w:t>
            </w:r>
          </w:p>
        </w:tc>
        <w:tc>
          <w:p>
            <w:pPr>
              <w:pStyle w:val="Compact"/>
            </w:pPr>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table-6.3-centre-control-clinics-and-recruitment"/>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pPr>
              <w:pStyle w:val="Compact"/>
            </w:pPr>
          </w:p>
        </w:tc>
        <w:tc>
          <w:p>
            <w:pPr>
              <w:pStyle w:val="Compact"/>
            </w:pPr>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table-6.4-radiological-findings-and-occupational-asbestos-exposure-inferred-by-job-title-by-centre-n960"/>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table-6.5-occupational-asbestos-exposure-inferred-by-job-title-and-ipf-risk-ever-vs-never"/>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table-6.6-occupational-asbestos-exposure-inferred-by-job-title-and-ipf-risk-categories-of-exposure"/>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table-6.7-source-receptor-model-parameter-summary-statistics"/>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illustrative-example-source-receptor-model-assessment-based-on-a-real-case"/>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table-6.8-occupational-asbestos-exposure-cumulative-fibre-ml-year-estimate-and-ipf-risk"/>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table-6.9-muc5b-rs35705950-occupational-asbestos-exposure-smoking-and-ipf-risk"/>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table-6.10-muc5b-rs35705950-occupational-asbestos-exposure-smoking-and-ipf-risk-definite-uip-only"/>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pPr>
              <w:pStyle w:val="Compact"/>
            </w:pPr>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pPr>
              <w:pStyle w:val="Compact"/>
            </w:pPr>
          </w:p>
        </w:tc>
        <w:tc>
          <w:p>
            <w:pPr>
              <w:pStyle w:val="Compact"/>
            </w:pPr>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pPr>
              <w:pStyle w:val="Compact"/>
            </w:pPr>
          </w:p>
        </w:tc>
        <w:tc>
          <w:p>
            <w:pPr>
              <w:pStyle w:val="Compact"/>
            </w:pPr>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type="textWrapping"/>
      </w:r>
      <w:r>
        <w:rPr>
          <w:vertAlign w:val="superscript"/>
        </w:rPr>
        <w:t xml:space="preserve">2</w:t>
      </w:r>
      <w:r>
        <w:t xml:space="preserve"> </w:t>
      </w:r>
      <w:r>
        <w:t xml:space="preserve">adjusted for age only where smoking is exposure</w:t>
      </w:r>
      <w:r>
        <w:br w:type="textWrapping"/>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table-6.11-unadjusted-and-adjusted-or-for-ipf-risk-factors-potential-confounders"/>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table-6.12-occupational-metal-wood-and-stone-exposure-and-ipf-risk"/>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table-6.13-sensitivity-analysis-limited-to-jobs-that-ended-before-1980-occupational-asbestos-exposure-inferred-by-job-title-and-ipf-risk-ever-vs-never-n779"/>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table-6.14-sensitivity-analysis-limited-to-jobs-that-ended-before-1980-occupational-asbestos-exposure-inferred-by-job-title-and-ipf-risk-categories-of-exposure-n779"/>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table-6.15-sensitivity-analysis-limited-to-jobs-that-participants-spent-5-or-more-years-in-occupational-asbestos-exposure-inferred-by-job-title-and-ipf-risk-ever-vs-never"/>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table-6.16-sensitivity-analysis-limited-to-jobs-that-participants-spent-5-or-more-years-in-occupational-asbestos-exposure-inferred-by-job-title-and-ipf-risk-categories-of-exposure"/>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table-6.17-sensitivity-analysis-limited-to-participants-within-10km-of-the-hospital-occupational-asbestos-exposure-inferred-by-job-title-and-ipf-risk-ever-vs-never"/>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table-6.18-sensitivity-analysis-limited-to-participants-within-10km-of-the-hospital-occupational-asbestos-exposure-inferred-by-job-title-and-ipf-risk-categories-of-exposure"/>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table-6.19-cumulative-dose-based-on-occupational-asbestos-exposure-inferred-by-job-title"/>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table-6.20-ordinal-logistic-regression-for-mmrc-score-and-ever-exposed-to-asbestos"/>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table-6.21-ordinal-logistic-regression-for-mmrc-score-and-for-categories-of-asbestos-exposure"/>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table-6.22-rs35705950-maf-for-genotyped-cases-case-subsets-and-controls-n818"/>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table-6.23-logistic-regression-of-ever-smoking-and-ever-exposed-to-occupational-asbestos-inferred-by-job-title-stratified-by-muc5b-rs35705950-genotype"/>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table-6.24-logistic-regression-of-ever-smoking-stratified-by-muc5b-rs35705950-genotype"/>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table-6.25-logistic-regression-of-ever-having-been-exposed-to-occupational-asbestos-inferred-by-job-title-stratified-by-muc5b-rs35705950-genotype"/>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table-6.26-logistic-regression-of-never-having-been-exposed-to-occupational-asbestos-inferred-by-job-title-stratified-by-muc5b-rs35705950-genotype"/>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table-6.27-logistic-regression-of-never-having-smoked-stratified-by-muc5b-rs35705950-genotype"/>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table-6.28-sensitivity-analysis-logistic-regression-of-ever-smoking-and-ever-exposed-to-occupational-asbestos-inferred-by-job-title-radiology-definite-uippossible-uip"/>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table-6.29-sensitivity-analysis-of-possible-uip-logistic-regression-of-ever-smoking-and-ever-exposed-to-occupational-asbestos-inferred-by-job-title-stratified-by-muc5b-rs35705950-genotype"/>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table-6.30-sensitivity-analysis-of-definite-uip-logistic-regression-of-ever-smoking-and-ever-exposed-to-occupational-asbestos-inferred-by-job-title-stratified-by-muc5b-rs35705950-genotype"/>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table-6.31-classification-of-job-categories-with-average-national-mesothelioma-pmrs.-table-2.3.2-in-occupational-domestic-and-environmental-mesothelioma-risks-in-britain.-hse-2009"/>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findings-interpretation-implications-relations-to-others-work-limitations-strengths"/>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ipfjes-in-context-radiological-uip-with-a-history-of-occupational-asbestos-exposure-ipf-asbestosis-and-25-fibreml.years"/>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radiological-uip-with-a-history-of-occupational-asbestos-exposure-ipf-asbestosis-and-25-fibreml.years"/>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in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significant the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And recognises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genetic-asbestos interaction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appendix-4-ipfjes-interview-application-code"/>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appendix-5-ipfjes-study-website-and-analysis-code"/>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2018.</w:t>
      </w:r>
      <w:r>
        <w:t xml:space="preserve"> </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García-Sancho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 discussion 594.</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An official ATS/ERS/JRS/ALAT statement: idiopathic pulmonary fibrosis: evidence-based guidelines for diagnosis and management, author=Raghu, Ganesh and Collard, Harold R and Egan, Jim J and Martinez, Fernando J and Behr, Juergen and Brown, Kevin K and Colby, Thomas V and Cordier, Jean-François and Flaherty, Kevin R and Lasky, Joseph A and others.</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2020-09-13T10:51:09Z</dcterms:created>
  <dcterms:modified xsi:type="dcterms:W3CDTF">2020-09-13T10:51:09Z</dcterms:modified>
</cp:coreProperties>
</file>